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spacing w:before="300" w:after="300" w:line="540" w:lineRule="atLeast"/>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附件</w:t>
      </w:r>
      <w:r>
        <w:rPr>
          <w:rFonts w:asciiTheme="majorEastAsia" w:hAnsiTheme="majorEastAsia" w:eastAsiaTheme="majorEastAsia" w:cstheme="majorEastAsia"/>
          <w:color w:val="333333"/>
          <w:kern w:val="0"/>
          <w:sz w:val="28"/>
          <w:szCs w:val="28"/>
        </w:rPr>
        <w:t>5</w:t>
      </w:r>
      <w:r>
        <w:rPr>
          <w:rFonts w:hint="eastAsia" w:asciiTheme="majorEastAsia" w:hAnsiTheme="majorEastAsia" w:eastAsiaTheme="majorEastAsia" w:cstheme="majorEastAsia"/>
          <w:color w:val="333333"/>
          <w:kern w:val="0"/>
          <w:sz w:val="28"/>
          <w:szCs w:val="28"/>
        </w:rPr>
        <w:t>：</w:t>
      </w:r>
    </w:p>
    <w:p>
      <w:pPr>
        <w:widowControl/>
        <w:shd w:val="clear" w:color="auto" w:fill="FCFCFC"/>
        <w:spacing w:line="360" w:lineRule="auto"/>
        <w:jc w:val="center"/>
        <w:rPr>
          <w:rFonts w:asciiTheme="majorEastAsia" w:hAnsiTheme="majorEastAsia" w:eastAsiaTheme="majorEastAsia" w:cstheme="majorEastAsia"/>
          <w:b/>
          <w:bCs/>
          <w:color w:val="333333"/>
          <w:kern w:val="0"/>
          <w:sz w:val="28"/>
          <w:szCs w:val="28"/>
        </w:rPr>
      </w:pPr>
      <w:r>
        <w:rPr>
          <w:rFonts w:hint="eastAsia" w:asciiTheme="majorEastAsia" w:hAnsiTheme="majorEastAsia" w:eastAsiaTheme="majorEastAsia" w:cstheme="majorEastAsia"/>
          <w:b/>
          <w:bCs/>
          <w:color w:val="333333"/>
          <w:kern w:val="0"/>
          <w:sz w:val="28"/>
          <w:szCs w:val="28"/>
        </w:rPr>
        <w:t>竞赛履约保证书</w:t>
      </w:r>
    </w:p>
    <w:p>
      <w:pPr>
        <w:widowControl/>
        <w:shd w:val="clear" w:color="auto" w:fill="FCFCFC"/>
        <w:spacing w:line="360" w:lineRule="auto"/>
        <w:jc w:val="center"/>
        <w:rPr>
          <w:rFonts w:asciiTheme="majorEastAsia" w:hAnsiTheme="majorEastAsia" w:eastAsiaTheme="majorEastAsia" w:cstheme="majorEastAsia"/>
          <w:b/>
          <w:bCs/>
          <w:color w:val="333333"/>
          <w:kern w:val="0"/>
          <w:sz w:val="28"/>
          <w:szCs w:val="28"/>
        </w:rPr>
      </w:pP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中国信鸽协会 ：</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为促进本地区信鸽活动的开展，规范国际鸽联“世界杯”信鸽职业联赛   分站赛竞赛行为，营造公平、公正的竞赛环境，本单位对举办202</w:t>
      </w:r>
      <w:r>
        <w:rPr>
          <w:rFonts w:hint="eastAsia" w:asciiTheme="majorEastAsia" w:hAnsiTheme="majorEastAsia" w:eastAsiaTheme="majorEastAsia" w:cstheme="majorEastAsia"/>
          <w:color w:val="333333"/>
          <w:kern w:val="0"/>
          <w:sz w:val="28"/>
          <w:szCs w:val="28"/>
          <w:lang w:val="en-US" w:eastAsia="zh-CN"/>
        </w:rPr>
        <w:t>1</w:t>
      </w:r>
      <w:r>
        <w:rPr>
          <w:rFonts w:hint="eastAsia" w:asciiTheme="majorEastAsia" w:hAnsiTheme="majorEastAsia" w:eastAsiaTheme="majorEastAsia" w:cstheme="majorEastAsia"/>
          <w:color w:val="333333"/>
          <w:kern w:val="0"/>
          <w:sz w:val="28"/>
          <w:szCs w:val="28"/>
        </w:rPr>
        <w:t>年国际鸽联“世界杯”信鸽职业联赛 </w:t>
      </w:r>
      <w:bookmarkStart w:id="0" w:name="_GoBack"/>
      <w:bookmarkEnd w:id="0"/>
      <w:r>
        <w:rPr>
          <w:rFonts w:hint="eastAsia" w:asciiTheme="majorEastAsia" w:hAnsiTheme="majorEastAsia" w:eastAsiaTheme="majorEastAsia" w:cstheme="majorEastAsia"/>
          <w:color w:val="333333"/>
          <w:kern w:val="0"/>
          <w:sz w:val="28"/>
          <w:szCs w:val="28"/>
        </w:rPr>
        <w:t>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分站赛竞赛活动作出如下承诺与保证：</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一、在履行“世界杯”信鸽职业联赛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分站竞赛过程中，严格执行《中国信鸽竞赛规则（2019）》、《国际鸽联“世界杯”信鸽职业联赛竞赛管理办法（试行）》等各项规定。</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二、将无条件地依照贵协会及裁判团队对本单位举行竞赛成绩的裁定执行，同时，将《竞赛规程》约定的奖项、奖金足额兑现颁发。</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三、本单位是具有完全独立民事责任的法人主体，在主办竞赛活动期间，若出现纠纷以及诉讼，将独自承担相应的法律责任。</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四、本单位承诺依照国家法律法规履行纳税义务。</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p>
    <w:p>
      <w:pPr>
        <w:widowControl/>
        <w:shd w:val="clear" w:color="auto" w:fill="FCFCFC"/>
        <w:spacing w:line="360" w:lineRule="auto"/>
        <w:ind w:firstLine="420"/>
        <w:jc w:val="center"/>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                   （申办单位章）</w:t>
      </w:r>
    </w:p>
    <w:p>
      <w:pPr>
        <w:widowControl/>
        <w:shd w:val="clear" w:color="auto" w:fill="FCFCFC"/>
        <w:spacing w:line="360" w:lineRule="auto"/>
        <w:ind w:firstLine="420"/>
        <w:jc w:val="right"/>
      </w:pPr>
      <w:r>
        <w:rPr>
          <w:rFonts w:hint="eastAsia" w:asciiTheme="majorEastAsia" w:hAnsiTheme="majorEastAsia" w:eastAsiaTheme="majorEastAsia" w:cstheme="majorEastAsia"/>
          <w:color w:val="333333"/>
          <w:kern w:val="0"/>
          <w:sz w:val="28"/>
          <w:szCs w:val="28"/>
        </w:rPr>
        <w:t>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年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月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A106A"/>
    <w:rsid w:val="68D2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、倾听雨落</cp:lastModifiedBy>
  <dcterms:modified xsi:type="dcterms:W3CDTF">2020-09-30T03:34:30Z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