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附件3：</w:t>
      </w:r>
    </w:p>
    <w:p>
      <w:pPr>
        <w:spacing w:line="360" w:lineRule="auto"/>
        <w:jc w:val="center"/>
        <w:rPr>
          <w:rFonts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竞赛履约保证书</w:t>
      </w:r>
    </w:p>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中国信鸽协会 ：</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为促进本地区信鸽活动的开展，规范国际鸽联“洲际杯”国际公棚鸽王赛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分站赛竞赛行为，营造公平、公正的竞赛环境，本单位对举办2023年国际鸽联“洲际杯”国际公棚鸽王赛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分站赛竞赛活动作出如下承诺与保证：</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一、在履行国际鸽联“洲际杯”信鸽职业联赛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分站竞赛过程中，严格执行《中国信鸽竞赛规则》、《国际鸽联“洲际杯”国际公棚鸽王赛管理办法》等各项规定。</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二、将无条件地依照贵协会及裁判团队对本单位举行竞赛成绩的裁定执行，同时，将《竞赛规程》约定的奖项、奖金足额兑现颁发。</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三、本单位是具有完全独立民事责任的法人主体，在主办竞赛活动期间，若出现纠纷以及诉讼，将独自承担相应的法律责任。</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四、本单位承诺依照国家</w:t>
      </w:r>
      <w:bookmarkStart w:id="0" w:name="_GoBack"/>
      <w:bookmarkEnd w:id="0"/>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法律法规履行纳税义务。</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jc w:val="righ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（申办单位章）</w:t>
      </w:r>
    </w:p>
    <w:p>
      <w:pPr>
        <w:spacing w:line="360" w:lineRule="auto"/>
        <w:ind w:firstLine="560" w:firstLineChars="200"/>
        <w:jc w:val="right"/>
        <w:rPr>
          <w:rFonts w:ascii="仿宋" w:hAnsi="仿宋" w:eastAsia="仿宋" w:cs="仿宋"/>
          <w:color w:val="000000" w:themeColor="text1"/>
          <w:sz w:val="30"/>
          <w:szCs w:val="30"/>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年   月   日</w:t>
      </w:r>
    </w:p>
    <w:p/>
    <w:sectPr>
      <w:pgSz w:w="11900" w:h="16840"/>
      <w:pgMar w:top="1418" w:right="1418" w:bottom="1418" w:left="1418" w:header="1474" w:footer="128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38F9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2022-10-24T04:18:49Z</dcterms:created>
  <dc:creator>zhanghui</dc:creator>
  <cp:lastModifiedBy>黑白辉</cp:lastModifiedBy>
  <dcterms:modified xsi:type="dcterms:W3CDTF">2022-10-24T04:18:59Z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91CECB60F8FE4741BCFE9D4B7FC804FF</vt:lpwstr>
  </property>
</Properties>
</file>