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华文仿宋"/>
          <w:color w:val="333333"/>
          <w:sz w:val="32"/>
          <w:szCs w:val="32"/>
          <w:shd w:val="clear" w:color="auto" w:fill="FFFFFF"/>
        </w:rPr>
      </w:pPr>
      <w:r>
        <w:rPr>
          <w:rFonts w:hint="eastAsia" w:ascii="仿宋" w:hAnsi="仿宋" w:eastAsia="仿宋" w:cs="华文仿宋"/>
          <w:color w:val="333333"/>
          <w:sz w:val="32"/>
          <w:szCs w:val="32"/>
          <w:shd w:val="clear" w:color="auto" w:fill="FFFFFF"/>
        </w:rPr>
        <w:t>附件2</w:t>
      </w:r>
    </w:p>
    <w:p>
      <w:pPr>
        <w:pStyle w:val="2"/>
        <w:shd w:val="clear" w:color="auto" w:fill="FFFFFF"/>
        <w:spacing w:before="300" w:after="300"/>
        <w:jc w:val="center"/>
        <w:rPr>
          <w:rFonts w:hint="default" w:ascii="仿宋" w:hAnsi="仿宋" w:eastAsia="仿宋" w:cs="华文仿宋"/>
          <w:color w:val="333333"/>
          <w:sz w:val="32"/>
          <w:szCs w:val="32"/>
        </w:rPr>
      </w:pPr>
      <w:r>
        <w:rPr>
          <w:rStyle w:val="5"/>
          <w:rFonts w:ascii="仿宋" w:hAnsi="仿宋" w:eastAsia="仿宋" w:cs="华文仿宋"/>
          <w:color w:val="333333"/>
          <w:sz w:val="32"/>
          <w:szCs w:val="32"/>
          <w:shd w:val="clear" w:color="auto" w:fill="FFFFFF"/>
        </w:rPr>
        <w:t>中国信鸽公棚鸽王排名赛执裁申请书</w:t>
      </w:r>
    </w:p>
    <w:p>
      <w:pPr>
        <w:pStyle w:val="2"/>
        <w:shd w:val="clear" w:color="auto" w:fill="FFFFFF"/>
        <w:spacing w:before="300" w:after="300" w:line="360" w:lineRule="auto"/>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中国信鸽协会协会：</w:t>
      </w:r>
    </w:p>
    <w:p>
      <w:pPr>
        <w:pStyle w:val="2"/>
        <w:shd w:val="clear" w:color="auto" w:fill="FFFFFF"/>
        <w:spacing w:before="300" w:after="300" w:line="360" w:lineRule="auto"/>
        <w:ind w:firstLine="640" w:firstLineChars="200"/>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为促进信鸽竞赛活动健康、规范、有序发展，强化信鸽组织及其裁判团队对本单位举办信鸽竞赛活动的监督与管理，确保本单位举办的竞赛活动在公平、公正、公开的环境下顺利实施，本单位</w:t>
      </w:r>
      <w:r>
        <w:rPr>
          <w:rFonts w:ascii="仿宋" w:hAnsi="仿宋" w:eastAsia="仿宋" w:cs="华文仿宋"/>
          <w:color w:val="333333"/>
          <w:sz w:val="32"/>
          <w:szCs w:val="32"/>
          <w:u w:val="single"/>
          <w:shd w:val="clear" w:color="auto" w:fill="FFFFFF"/>
        </w:rPr>
        <w:t>202</w:t>
      </w:r>
      <w:r>
        <w:rPr>
          <w:rFonts w:hint="eastAsia" w:ascii="仿宋" w:hAnsi="仿宋" w:eastAsia="仿宋" w:cs="华文仿宋"/>
          <w:color w:val="333333"/>
          <w:sz w:val="32"/>
          <w:szCs w:val="32"/>
          <w:u w:val="single"/>
          <w:shd w:val="clear" w:color="auto" w:fill="FFFFFF"/>
          <w:lang w:val="en-US" w:eastAsia="zh-CN"/>
        </w:rPr>
        <w:t>4</w:t>
      </w:r>
      <w:r>
        <w:rPr>
          <w:rFonts w:ascii="仿宋" w:hAnsi="仿宋" w:eastAsia="仿宋" w:cs="华文仿宋"/>
          <w:color w:val="333333"/>
          <w:sz w:val="32"/>
          <w:szCs w:val="32"/>
          <w:shd w:val="clear" w:color="auto" w:fill="FFFFFF"/>
        </w:rPr>
        <w:t>年度申请举办中国信鸽公棚鸽王排名赛活动，自愿接受竞赛监管，严格遵守《信鸽活动管理办法》、《中国信鸽竞赛规则（2019）》、《中国信鸽公棚鸽王排名赛管理办法（试行）》等各项规定无条件的接受并配合贵协会及其裁判团队的裁判监督与竞赛管理，坚决服从裁判员的临场调度与裁决。</w:t>
      </w:r>
    </w:p>
    <w:p>
      <w:pPr>
        <w:pStyle w:val="2"/>
        <w:shd w:val="clear" w:color="auto" w:fill="FFFFFF"/>
        <w:spacing w:before="300" w:after="300" w:line="360" w:lineRule="auto"/>
        <w:ind w:firstLine="640" w:firstLineChars="200"/>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现将申请资料报上，请</w:t>
      </w:r>
      <w:bookmarkStart w:id="0" w:name="_GoBack"/>
      <w:bookmarkEnd w:id="0"/>
      <w:r>
        <w:rPr>
          <w:rFonts w:ascii="仿宋" w:hAnsi="仿宋" w:eastAsia="仿宋" w:cs="华文仿宋"/>
          <w:color w:val="333333"/>
          <w:sz w:val="32"/>
          <w:szCs w:val="32"/>
          <w:shd w:val="clear" w:color="auto" w:fill="FFFFFF"/>
        </w:rPr>
        <w:t>贵协会核准并派遣裁判。</w:t>
      </w:r>
    </w:p>
    <w:p>
      <w:pPr>
        <w:pStyle w:val="2"/>
        <w:shd w:val="clear" w:color="auto" w:fill="FFFFFF"/>
        <w:spacing w:before="300" w:after="300" w:line="360" w:lineRule="auto"/>
        <w:rPr>
          <w:rFonts w:hint="default" w:ascii="仿宋" w:hAnsi="仿宋" w:eastAsia="仿宋" w:cs="华文仿宋"/>
          <w:color w:val="333333"/>
          <w:sz w:val="32"/>
          <w:szCs w:val="32"/>
        </w:rPr>
      </w:pPr>
      <w:r>
        <w:rPr>
          <w:rFonts w:hint="default" w:ascii="Calibri" w:hAnsi="Calibri" w:eastAsia="仿宋" w:cs="Calibri"/>
          <w:color w:val="333333"/>
          <w:sz w:val="32"/>
          <w:szCs w:val="32"/>
          <w:shd w:val="clear" w:color="auto" w:fill="FFFFFF"/>
        </w:rPr>
        <w:t> </w:t>
      </w:r>
    </w:p>
    <w:p>
      <w:pPr>
        <w:pStyle w:val="2"/>
        <w:shd w:val="clear" w:color="auto" w:fill="FFFFFF"/>
        <w:spacing w:before="300" w:after="300" w:line="360" w:lineRule="auto"/>
        <w:jc w:val="right"/>
        <w:rPr>
          <w:rFonts w:hint="default" w:ascii="仿宋" w:hAnsi="仿宋" w:eastAsia="仿宋" w:cs="华文仿宋"/>
          <w:color w:val="333333"/>
          <w:sz w:val="32"/>
          <w:szCs w:val="32"/>
        </w:rPr>
      </w:pPr>
      <w:r>
        <w:rPr>
          <w:rFonts w:ascii="仿宋" w:hAnsi="仿宋" w:eastAsia="仿宋" w:cs="华文仿宋"/>
          <w:color w:val="333333"/>
          <w:sz w:val="32"/>
          <w:szCs w:val="32"/>
          <w:shd w:val="clear" w:color="auto" w:fill="FFFFFF"/>
        </w:rPr>
        <w:t>（申办单位章）</w:t>
      </w:r>
    </w:p>
    <w:p>
      <w:pPr>
        <w:pStyle w:val="2"/>
        <w:shd w:val="clear" w:color="auto" w:fill="FFFFFF"/>
        <w:spacing w:before="300" w:after="300" w:line="360" w:lineRule="auto"/>
        <w:jc w:val="right"/>
        <w:rPr>
          <w:rFonts w:hint="default" w:ascii="仿宋" w:hAnsi="仿宋" w:eastAsia="仿宋" w:cs="华文仿宋"/>
          <w:color w:val="333333"/>
          <w:sz w:val="32"/>
          <w:szCs w:val="32"/>
          <w:shd w:val="clear" w:color="auto" w:fill="FFFFFF"/>
        </w:rPr>
      </w:pP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年</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月</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 xml:space="preserve"> </w:t>
      </w:r>
      <w:r>
        <w:rPr>
          <w:rFonts w:hint="default" w:ascii="Calibri" w:hAnsi="Calibri" w:eastAsia="仿宋" w:cs="Calibri"/>
          <w:color w:val="333333"/>
          <w:sz w:val="32"/>
          <w:szCs w:val="32"/>
          <w:shd w:val="clear" w:color="auto" w:fill="FFFFFF"/>
        </w:rPr>
        <w:t> </w:t>
      </w:r>
      <w:r>
        <w:rPr>
          <w:rFonts w:ascii="仿宋" w:hAnsi="仿宋" w:eastAsia="仿宋" w:cs="华文仿宋"/>
          <w:color w:val="333333"/>
          <w:sz w:val="32"/>
          <w:szCs w:val="32"/>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250D2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after="100"/>
      <w:jc w:val="left"/>
    </w:pPr>
    <w:rPr>
      <w:rFonts w:hint="eastAsia" w:ascii="宋体" w:hAnsi="宋体"/>
      <w:kern w:val="0"/>
      <w:sz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2023-04-11T08:31:01Z</dcterms:created>
  <dc:creator>zhanghui</dc:creator>
  <cp:lastModifiedBy>黑白辉</cp:lastModifiedBy>
  <dcterms:modified xsi:type="dcterms:W3CDTF">2023-04-11T08:31:34Z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487B1BEC01DF44BA89DD0BA0A9381EB9_12</vt:lpwstr>
  </property>
</Properties>
</file>